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26-172</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21</w:t>
      </w:r>
    </w:p>
    <w:p>
      <w:pPr>
        <w:spacing w:before="0" w:after="0" w:line="480"/>
        <w:ind w:left="120"/>
        <w:jc w:val="center"/>
      </w:pPr>
      <w:r>
        <w:rPr>
          <w:rFonts w:ascii="Times New Roman" w:hAnsi="Times New Roman"/>
          <w:b w:val="false"/>
          <w:i w:val="false"/>
          <w:color w:val="000000"/>
          <w:sz w:val="24"/>
        </w:rPr>
        <w:t>“Community Colleges”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256.139 as enacted by 2026 Iowa Acts, House File 2610</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256.139 as enacted by 2026 Iowa Acts, House File 2610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11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meet.google.com/qjc-zbvu-pmx</w:t>
              </w:r>
            </w:hyperlink>
            <w:r>
              <w:br/>
            </w:r>
            <w:r>
              <w:rPr>
                <w:rFonts w:ascii="Times New Roman" w:hAnsi="Times New Roman"/>
                <w:b w:val="false"/>
                <w:i w:val="false"/>
                <w:color w:val="000000"/>
                <w:sz w:val="14"/>
              </w:rPr>
              <w:t>Or dial: ‪(US) +1 410.995.8223</w:t>
            </w:r>
            <w:r>
              <w:br/>
            </w:r>
            <w:r>
              <w:rPr>
                <w:rFonts w:ascii="Times New Roman" w:hAnsi="Times New Roman"/>
                <w:b w:val="false"/>
                <w:i w:val="false"/>
                <w:color w:val="000000"/>
                <w:sz w:val="14"/>
              </w:rPr>
              <w:t>PIN: ‪697 039 136#</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 Rules Coordinator</w:t>
            </w:r>
            <w:r>
              <w:br/>
            </w:r>
            <w:r>
              <w:rPr>
                <w:rFonts w:ascii="Times New Roman" w:hAnsi="Times New Roman"/>
                <w:b w:val="false"/>
                <w:i w:val="false"/>
                <w:color w:val="000000"/>
                <w:sz w:val="14"/>
              </w:rPr>
              <w:t>Department of Education</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2610, by establishing a statewide common course numbering system and a statewide lower division general education framework for Iowa community colleges. This proposed rulemaking establishes processes for identifying equivalent courses, assigning common course numbers, developing common course descriptions and learning outcomes through a faculty process, and implementing a common lower division general education framework.</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primary costs of this proposed rulemaking will be borne by Iowa community colleges, which will incur one-time implementation costs associated with reviewing and aligning courses and updating student information systems, registration systems, degree audit systems, catalogs, transcripts, advising materials, and other institutional processes.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Students enrolled in Iowa community colleges will be the primary beneficiaries of the proposed rulemaking through increased transparency regarding course equivalencies and transferability, more consistent lower division general education requirements, improved academic advising, reduced duplication of coursework, and more efficient pathways toward certificate and degree completion.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is expected to affect all 15 Iowa community colleges; approximately 120,000 community college students enrolled annually in credit-bearing coursework; thousands of transferable lower division courses offered statewide; and student information systems, registration systems, degree audit systems, advising resources, catalogs, and transcript processes maintained by each community college.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expected impacts of this proposed rulemaking include increased transparency regarding course equivalencies and transferability; greater consistency in lower division general education requirements; improved academic advising and degree planning; reduced duplication of coursework following student transfer; more efficient degree completion pathways; increased consistency among institutions while maintaining faculty participation in determining course equivalencies and learning outcomes; and improved statewide coordination among districts offering concurrent enrollment, community colleges and transfer institutions.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will incur administrative costs associated with implementation, including coordinating statewide faculty and institutional workgroups, developing and maintaining statewide guidance and implementation resources, maintaining statewide common course numbering information, providing technical assistance to community colleges, and monitoring implementation and compliance with statutory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 direct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requires one-time implementation costs associated with updating institutional systems, aligning courses with statewide equivalencies and the common lower division general education framework, revising advising and catalog materials, and participating in statewide implementation activities. This proposed rulemaking is intended to improve student transfer between districts offering concurrent enrollment, Iowa community colleges, and transfer institutions; increase transparency regarding course equivalencies and general education requirements; reduce unnecessary duplication of coursework; improve advising efficiency and degree planning; support timely degree completion; and promote statewide consistency while preserving institutional responsibility for curriculum and instruction.</w:t>
      </w:r>
    </w:p>
    <w:p>
      <w:pPr>
        <w:spacing w:before="0" w:after="0" w:line="480"/>
        <w:ind w:left="120"/>
        <w:jc w:val="both"/>
      </w:pPr>
      <w:r>
        <w:rPr>
          <w:rFonts w:ascii="Times New Roman" w:hAnsi="Times New Roman"/>
          <w:b w:val="false"/>
          <w:i w:val="false"/>
          <w:color w:val="000000"/>
          <w:sz w:val="24"/>
        </w:rPr>
        <w:t>Failure to adopt this proposed rulemaking would prevent implementation of statutory requirements enacted by 2026 Iowa Acts, House File 2610.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determined that rulemaking is the least costly and least intrusive method available to implement statutory requirements and provide statewide consistency.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method proposed is the most cost-efficient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they would lead to additional burdens on educational entities and the Department.</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21.4(1)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21.4(1)</w:t>
      </w:r>
      <w:r>
        <w:rPr>
          <w:rFonts w:ascii="Times New Roman" w:hAnsi="Times New Roman"/>
          <w:b w:val="false"/>
          <w:i w:val="false"/>
          <w:color w:val="000000"/>
          <w:sz w:val="24"/>
        </w:rPr>
        <w:t> </w:t>
      </w:r>
      <w:r>
        <w:rPr>
          <w:rFonts w:ascii="Times New Roman" w:hAnsi="Times New Roman"/>
          <w:b w:val="false"/>
          <w:i/>
          <w:color w:val="000000"/>
          <w:sz w:val="24"/>
        </w:rPr>
        <w:t xml:space="preserve">General education. </w:t>
      </w:r>
      <w:r>
        <w:rPr>
          <w:rFonts w:ascii="Times New Roman" w:hAnsi="Times New Roman"/>
          <w:b w:val="false"/>
          <w:i w:val="false"/>
          <w:color w:val="000000"/>
          <w:sz w:val="24"/>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courses are not intended to be developmental in nature. Each community college is responsible for local implementation, publication, and assessment of student learning of its general education courses while ensuring ongoing compliance with the statewide lower division general education framework.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Uniform framework. </w:t>
      </w:r>
      <w:r>
        <w:rPr>
          <w:rFonts w:ascii="Times New Roman" w:hAnsi="Times New Roman"/>
          <w:b w:val="false"/>
          <w:i w:val="false"/>
          <w:color w:val="000000"/>
          <w:sz w:val="24"/>
        </w:rPr>
        <w:t xml:space="preserve">Effective July 1, 2027, all community colleges will implement the statewide lower division general education framework for associate of arts (AA) and associate of science (AS) awards pursuant to Iowa Code section </w:t>
      </w:r>
      <w:hyperlink r:id="rId6">
        <w:r>
          <w:rPr>
            <w:rStyle w:val="Hyperlink"/>
            <w:rFonts w:ascii="Times New Roman" w:hAnsi="Times New Roman"/>
            <w:b w:val="false"/>
            <w:i w:val="false"/>
            <w:color w:val="000000"/>
            <w:sz w:val="24"/>
          </w:rPr>
          <w:t>256.139</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Core disciplinary categories. </w:t>
      </w:r>
      <w:r>
        <w:rPr>
          <w:rFonts w:ascii="Times New Roman" w:hAnsi="Times New Roman"/>
          <w:b w:val="false"/>
          <w:i w:val="false"/>
          <w:color w:val="000000"/>
          <w:sz w:val="24"/>
        </w:rPr>
        <w:t>The statewide lower division general education framework shall be established by the department and consist of the following four core disciplinary categories: communications, humanities, social science, and mathematics and science. To ensure seamless systemwide transferability, the department will collaborate with community colleges and consult with the liaison advisory committee on transfer students and the board of regents on the administration of the framework. The department has final administrative authority over the inclusion and modification of these categories within the statewide lower division general education framework.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Credit allocation guidelines. </w:t>
      </w:r>
      <w:r>
        <w:rPr>
          <w:rFonts w:ascii="Times New Roman" w:hAnsi="Times New Roman"/>
          <w:b w:val="false"/>
          <w:i w:val="false"/>
          <w:color w:val="000000"/>
          <w:sz w:val="24"/>
        </w:rPr>
        <w:t xml:space="preserve">The specific credit allocation and credit distribution rules in the core disciplinary categories identified in paragraph </w:t>
      </w:r>
      <w:hyperlink r:id="rId7">
        <w:r>
          <w:rPr>
            <w:rStyle w:val="Hyperlink"/>
            <w:rFonts w:ascii="Times New Roman" w:hAnsi="Times New Roman"/>
            <w:b w:val="false"/>
            <w:i w:val="false"/>
            <w:color w:val="000000"/>
            <w:sz w:val="24"/>
          </w:rPr>
          <w:t>21.4(1)</w:t>
        </w:r>
      </w:hyperlink>
      <w:r>
        <w:rPr>
          <w:rFonts w:ascii="Times New Roman" w:hAnsi="Times New Roman"/>
          <w:b w:val="false"/>
          <w:i/>
          <w:color w:val="000000"/>
          <w:sz w:val="24"/>
        </w:rPr>
        <w:t>“b”</w:t>
      </w:r>
      <w:r>
        <w:rPr>
          <w:rFonts w:ascii="Times New Roman" w:hAnsi="Times New Roman"/>
          <w:b w:val="false"/>
          <w:i w:val="false"/>
          <w:color w:val="000000"/>
          <w:sz w:val="24"/>
        </w:rPr>
        <w:t xml:space="preserve"> will be broadly aligned with the transfer standards developed pursuant to the statutory articulation pathways authorized by Iowa Code section </w:t>
      </w:r>
      <w:hyperlink r:id="rId8">
        <w:r>
          <w:rPr>
            <w:rStyle w:val="Hyperlink"/>
            <w:rFonts w:ascii="Times New Roman" w:hAnsi="Times New Roman"/>
            <w:b w:val="false"/>
            <w:i w:val="false"/>
            <w:color w:val="000000"/>
            <w:sz w:val="24"/>
          </w:rPr>
          <w:t>262.9(31)</w:t>
        </w:r>
      </w:hyperlink>
      <w:r>
        <w:rPr>
          <w:rFonts w:ascii="Times New Roman" w:hAnsi="Times New Roman"/>
          <w:b w:val="false"/>
          <w:i w:val="false"/>
          <w:color w:val="000000"/>
          <w:sz w:val="24"/>
        </w:rPr>
        <w:t>. The department shall coordinate with the community colleges and the board of regents to integrate these standards into the statewide lower division general education framework. The department-issued Iowa General Education Lower Division Framework Operational Guide will establish the administrative workflows necessary to submit, audit, and add courses, as well as the collaborative processes for updating credit allocations.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Statewide common course numbering integration. </w:t>
      </w:r>
      <w:r>
        <w:rPr>
          <w:rFonts w:ascii="Times New Roman" w:hAnsi="Times New Roman"/>
          <w:b w:val="false"/>
          <w:i w:val="false"/>
          <w:color w:val="000000"/>
          <w:sz w:val="24"/>
        </w:rPr>
        <w:t xml:space="preserve">All courses approved to fulfill a distribution category requirement within the statewide lower division general education framework will follow the structural elements of paragraph </w:t>
      </w:r>
      <w:hyperlink r:id="rId9">
        <w:r>
          <w:rPr>
            <w:rStyle w:val="Hyperlink"/>
            <w:rFonts w:ascii="Times New Roman" w:hAnsi="Times New Roman"/>
            <w:b w:val="false"/>
            <w:i w:val="false"/>
            <w:color w:val="000000"/>
            <w:sz w:val="24"/>
          </w:rPr>
          <w:t>21.4(7)</w:t>
        </w:r>
      </w:hyperlink>
      <w:r>
        <w:rPr>
          <w:rFonts w:ascii="Times New Roman" w:hAnsi="Times New Roman"/>
          <w:b w:val="false"/>
          <w:i/>
          <w:color w:val="000000"/>
          <w:sz w:val="24"/>
        </w:rPr>
        <w:t>“a.”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21.4(7)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21.4(7)</w:t>
      </w:r>
      <w:r>
        <w:rPr>
          <w:rFonts w:ascii="Times New Roman" w:hAnsi="Times New Roman"/>
          <w:b w:val="false"/>
          <w:i w:val="false"/>
          <w:color w:val="000000"/>
          <w:sz w:val="24"/>
        </w:rPr>
        <w:t> </w:t>
      </w:r>
      <w:r>
        <w:rPr>
          <w:rFonts w:ascii="Times New Roman" w:hAnsi="Times New Roman"/>
          <w:b w:val="false"/>
          <w:i/>
          <w:color w:val="000000"/>
          <w:sz w:val="24"/>
        </w:rPr>
        <w:t xml:space="preserve">Statewide common course numbering system. </w:t>
      </w:r>
      <w:r>
        <w:rPr>
          <w:rFonts w:ascii="Times New Roman" w:hAnsi="Times New Roman"/>
          <w:b w:val="false"/>
          <w:i w:val="false"/>
          <w:color w:val="000000"/>
          <w:sz w:val="24"/>
        </w:rPr>
        <w:t xml:space="preserve">To ensure statewide transfer and alignment, all credit-bearing community college courses shall comply with requirements of the statewide common course numbering system pursuant to Iowa Code section </w:t>
      </w:r>
      <w:hyperlink r:id="rId10">
        <w:r>
          <w:rPr>
            <w:rStyle w:val="Hyperlink"/>
            <w:rFonts w:ascii="Times New Roman" w:hAnsi="Times New Roman"/>
            <w:b w:val="false"/>
            <w:i w:val="false"/>
            <w:color w:val="000000"/>
            <w:sz w:val="24"/>
          </w:rPr>
          <w:t>256.139</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Structural elements. </w:t>
      </w:r>
      <w:r>
        <w:rPr>
          <w:rFonts w:ascii="Times New Roman" w:hAnsi="Times New Roman"/>
          <w:b w:val="false"/>
          <w:i w:val="false"/>
          <w:color w:val="000000"/>
          <w:sz w:val="24"/>
        </w:rPr>
        <w:t>A common course entry within the centralized statewide common course numbering directory consists of the following standardized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Course prefix.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Course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Course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Course credit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Course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Course learning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Central registry and system maintenance. </w:t>
      </w:r>
      <w:r>
        <w:rPr>
          <w:rFonts w:ascii="Times New Roman" w:hAnsi="Times New Roman"/>
          <w:b w:val="false"/>
          <w:i w:val="false"/>
          <w:color w:val="000000"/>
          <w:sz w:val="24"/>
        </w:rPr>
        <w:t>The department will maintain a centralized statewide common course numbering directory. Procedural guidance, submission timelines and administrative workflows will be established within the Iowa Common Course Numbering Operational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Equivalent course identification. </w:t>
      </w:r>
      <w:r>
        <w:rPr>
          <w:rFonts w:ascii="Times New Roman" w:hAnsi="Times New Roman"/>
          <w:b w:val="false"/>
          <w:i w:val="false"/>
          <w:color w:val="000000"/>
          <w:sz w:val="24"/>
        </w:rPr>
        <w:t>The department will maintain a centralized statewide common course numbering directory. New courses will be submitted by institutions for department approval prior to adoption by a community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Statewide integration. </w:t>
      </w:r>
      <w:r>
        <w:rPr>
          <w:rFonts w:ascii="Times New Roman" w:hAnsi="Times New Roman"/>
          <w:b w:val="false"/>
          <w:i w:val="false"/>
          <w:color w:val="000000"/>
          <w:sz w:val="24"/>
        </w:rPr>
        <w:t>Standardized course identifiers from the statewide common course numbering system will be utilized universally across all community college course catalogs, registration systems, and official student transcripts.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Rule of construction. </w:t>
      </w:r>
      <w:r>
        <w:rPr>
          <w:rFonts w:ascii="Times New Roman" w:hAnsi="Times New Roman"/>
          <w:b w:val="false"/>
          <w:i w:val="false"/>
          <w:color w:val="000000"/>
          <w:sz w:val="24"/>
        </w:rPr>
        <w:t>Individual community colleges retain the autonomy to include additional learning outcomes to fulfill unique regional or transfer needs, provided the course includes all common course outcomes.</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qjc-zbvu-pmx"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co/chapter/256.139.pdf" Type="http://schemas.openxmlformats.org/officeDocument/2006/relationships/hyperlink" Id="rId6"/>
    <Relationship TargetMode="External" Target="https://www.legis.iowa.gov/docs/iac/rule/281.21.4.pdf" Type="http://schemas.openxmlformats.org/officeDocument/2006/relationships/hyperlink" Id="rId7"/>
    <Relationship TargetMode="External" Target="https://www.legis.iowa.gov/docs/ico/chapter/262.9.pdf" Type="http://schemas.openxmlformats.org/officeDocument/2006/relationships/hyperlink" Id="rId8"/>
    <Relationship TargetMode="External" Target="https://www.legis.iowa.gov/docs/iac/rule/281.21.4.pdf" Type="http://schemas.openxmlformats.org/officeDocument/2006/relationships/hyperlink" Id="rId9"/>
    <Relationship TargetMode="External" Target="https://www.legis.iowa.gov/docs/ico/chapter/256.13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